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76B25" w14:textId="0038E48F" w:rsidR="004F4425" w:rsidRPr="004C20EC" w:rsidRDefault="004F4425" w:rsidP="004F4425">
      <w:pPr>
        <w:pStyle w:val="a3"/>
        <w:tabs>
          <w:tab w:val="right" w:pos="9923"/>
        </w:tabs>
        <w:ind w:right="-7"/>
        <w:rPr>
          <w:rFonts w:asciiTheme="minorHAnsi" w:hAnsiTheme="minorHAnsi" w:cstheme="minorHAnsi"/>
          <w:bCs/>
          <w:i/>
          <w:noProof w:val="0"/>
          <w:sz w:val="32"/>
          <w:lang w:eastAsia="ja-JP"/>
        </w:rPr>
      </w:pPr>
      <w:bookmarkStart w:id="0" w:name="_GoBack"/>
      <w:bookmarkEnd w:id="0"/>
      <w:r w:rsidRPr="004C20EC">
        <w:rPr>
          <w:rFonts w:asciiTheme="minorHAnsi" w:hAnsiTheme="minorHAnsi" w:cstheme="minorHAnsi"/>
          <w:bCs/>
          <w:noProof w:val="0"/>
          <w:sz w:val="24"/>
        </w:rPr>
        <w:t>3GPP T</w:t>
      </w:r>
      <w:bookmarkStart w:id="1" w:name="_Ref452454252"/>
      <w:bookmarkEnd w:id="1"/>
      <w:r w:rsidRPr="004C20EC">
        <w:rPr>
          <w:rFonts w:asciiTheme="minorHAnsi" w:hAnsiTheme="minorHAnsi" w:cstheme="minorHAnsi"/>
          <w:bCs/>
          <w:noProof w:val="0"/>
          <w:sz w:val="24"/>
        </w:rPr>
        <w:t>SG-</w:t>
      </w:r>
      <w:r w:rsidRPr="004C20EC">
        <w:rPr>
          <w:rFonts w:asciiTheme="minorHAnsi" w:hAnsiTheme="minorHAnsi" w:cstheme="minorHAnsi"/>
          <w:bCs/>
          <w:noProof w:val="0"/>
          <w:sz w:val="24"/>
          <w:szCs w:val="24"/>
        </w:rPr>
        <w:t xml:space="preserve">RAN </w:t>
      </w:r>
      <w:r w:rsidRPr="004C20EC">
        <w:rPr>
          <w:rFonts w:asciiTheme="minorHAnsi" w:hAnsiTheme="minorHAnsi" w:cstheme="minorHAnsi"/>
          <w:noProof w:val="0"/>
          <w:sz w:val="24"/>
          <w:szCs w:val="24"/>
        </w:rPr>
        <w:t>WG3 Meeting #</w:t>
      </w:r>
      <w:r w:rsidR="00E5568E">
        <w:rPr>
          <w:rFonts w:asciiTheme="minorHAnsi" w:hAnsiTheme="minorHAnsi" w:cstheme="minorHAnsi"/>
          <w:noProof w:val="0"/>
          <w:sz w:val="24"/>
          <w:szCs w:val="24"/>
        </w:rPr>
        <w:t>R3-119</w:t>
      </w:r>
      <w:r w:rsidR="00D265F4">
        <w:rPr>
          <w:rFonts w:asciiTheme="minorHAnsi" w:hAnsiTheme="minorHAnsi" w:cstheme="minorHAnsi"/>
          <w:noProof w:val="0"/>
          <w:sz w:val="24"/>
          <w:szCs w:val="24"/>
        </w:rPr>
        <w:t>bis</w:t>
      </w:r>
      <w:r w:rsidRPr="004C20EC">
        <w:rPr>
          <w:rFonts w:asciiTheme="minorHAnsi" w:hAnsiTheme="minorHAnsi" w:cstheme="minorHAnsi"/>
          <w:bCs/>
          <w:noProof w:val="0"/>
          <w:sz w:val="24"/>
        </w:rPr>
        <w:tab/>
      </w:r>
      <w:r w:rsidRPr="004C20EC">
        <w:rPr>
          <w:rFonts w:asciiTheme="minorHAnsi" w:hAnsiTheme="minorHAnsi" w:cstheme="minorHAnsi"/>
          <w:bCs/>
          <w:noProof w:val="0"/>
          <w:sz w:val="24"/>
          <w:lang w:eastAsia="ja-JP"/>
        </w:rPr>
        <w:t>R3-</w:t>
      </w:r>
      <w:r w:rsidR="00BB35EA" w:rsidRPr="004C20EC">
        <w:rPr>
          <w:rFonts w:asciiTheme="minorHAnsi" w:hAnsiTheme="minorHAnsi" w:cstheme="minorHAnsi"/>
          <w:bCs/>
          <w:noProof w:val="0"/>
          <w:sz w:val="24"/>
          <w:lang w:eastAsia="ja-JP"/>
        </w:rPr>
        <w:t>2</w:t>
      </w:r>
      <w:r w:rsidR="009E7DFF">
        <w:rPr>
          <w:rFonts w:asciiTheme="minorHAnsi" w:hAnsiTheme="minorHAnsi" w:cstheme="minorHAnsi"/>
          <w:bCs/>
          <w:noProof w:val="0"/>
          <w:sz w:val="24"/>
          <w:lang w:eastAsia="ja-JP"/>
        </w:rPr>
        <w:t>31372</w:t>
      </w:r>
    </w:p>
    <w:p w14:paraId="38C3CD78" w14:textId="77777777" w:rsidR="00D265F4" w:rsidRPr="004C20EC" w:rsidRDefault="00D265F4" w:rsidP="00D265F4">
      <w:pPr>
        <w:pStyle w:val="CRCoverPage"/>
        <w:outlineLvl w:val="0"/>
        <w:rPr>
          <w:rFonts w:asciiTheme="minorHAnsi" w:hAnsiTheme="minorHAnsi" w:cstheme="minorHAnsi"/>
          <w:b/>
          <w:noProof/>
          <w:sz w:val="24"/>
        </w:rPr>
      </w:pPr>
      <w:r>
        <w:rPr>
          <w:rFonts w:asciiTheme="minorHAnsi" w:hAnsiTheme="minorHAnsi" w:cstheme="minorHAnsi"/>
          <w:b/>
          <w:noProof/>
          <w:sz w:val="24"/>
        </w:rPr>
        <w:t>Online, 17 April – 21 April, 2023</w:t>
      </w:r>
    </w:p>
    <w:p w14:paraId="0C4B67AF" w14:textId="77777777" w:rsidR="00501135" w:rsidRPr="004C20EC" w:rsidRDefault="00501135">
      <w:pPr>
        <w:pStyle w:val="a3"/>
        <w:rPr>
          <w:rFonts w:asciiTheme="minorHAnsi" w:hAnsiTheme="minorHAnsi" w:cstheme="minorHAnsi"/>
          <w:bCs/>
          <w:noProof w:val="0"/>
          <w:sz w:val="24"/>
          <w:lang w:val="en-GB" w:eastAsia="ja-JP"/>
        </w:rPr>
      </w:pPr>
    </w:p>
    <w:p w14:paraId="43D56084" w14:textId="349DC15A"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AF50D6">
        <w:rPr>
          <w:rFonts w:asciiTheme="minorHAnsi" w:hAnsiTheme="minorHAnsi" w:cstheme="minorHAnsi"/>
          <w:b/>
          <w:bCs/>
          <w:color w:val="000000"/>
          <w:sz w:val="24"/>
          <w:szCs w:val="24"/>
          <w:lang w:val="en-US"/>
        </w:rPr>
        <w:t>10.2.1</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3A2005BA" w14:textId="22401574" w:rsidR="00501135" w:rsidRPr="002B0CFE" w:rsidRDefault="00501135">
      <w:pPr>
        <w:ind w:left="1985" w:hanging="1985"/>
        <w:rPr>
          <w:rFonts w:asciiTheme="minorHAnsi" w:hAnsiTheme="minorHAnsi" w:cstheme="minorHAnsi"/>
          <w:b/>
          <w:color w:val="000000"/>
          <w:sz w:val="24"/>
          <w:szCs w:val="24"/>
          <w:lang w:val="en-US" w:eastAsia="ja-JP"/>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AF50D6" w:rsidRPr="00AF50D6">
        <w:rPr>
          <w:rFonts w:asciiTheme="minorHAnsi" w:hAnsiTheme="minorHAnsi" w:cstheme="minorHAnsi"/>
          <w:b/>
          <w:bCs/>
          <w:sz w:val="24"/>
          <w:lang w:val="en-US"/>
        </w:rPr>
        <w:t>Discussion on related issue of inter-RAT SHR</w:t>
      </w:r>
    </w:p>
    <w:p w14:paraId="798882EA" w14:textId="32EFC9C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Start w:id="9" w:name="_Toc126137453"/>
      <w:bookmarkStart w:id="10" w:name="_Toc126137557"/>
      <w:r w:rsidRPr="004C20EC">
        <w:rPr>
          <w:rFonts w:asciiTheme="minorHAnsi" w:hAnsiTheme="minorHAnsi" w:cstheme="minorHAnsi"/>
        </w:rPr>
        <w:t>1</w:t>
      </w:r>
      <w:r w:rsidRPr="004C20EC">
        <w:rPr>
          <w:rFonts w:asciiTheme="minorHAnsi" w:hAnsiTheme="minorHAnsi" w:cstheme="minorHAnsi"/>
        </w:rPr>
        <w:tab/>
        <w:t>Introduction</w:t>
      </w:r>
      <w:bookmarkEnd w:id="2"/>
      <w:bookmarkEnd w:id="3"/>
      <w:bookmarkEnd w:id="4"/>
      <w:bookmarkEnd w:id="5"/>
      <w:bookmarkEnd w:id="6"/>
      <w:bookmarkEnd w:id="7"/>
      <w:bookmarkEnd w:id="8"/>
      <w:bookmarkEnd w:id="9"/>
      <w:bookmarkEnd w:id="10"/>
    </w:p>
    <w:p w14:paraId="4E5E48EA" w14:textId="79954002" w:rsidR="007D02E1" w:rsidRPr="00783749" w:rsidRDefault="002B0CFE" w:rsidP="00783749">
      <w:pPr>
        <w:jc w:val="both"/>
        <w:rPr>
          <w:rFonts w:asciiTheme="minorHAnsi" w:hAnsiTheme="minorHAnsi" w:cstheme="minorHAnsi"/>
        </w:rPr>
      </w:pPr>
      <w:r w:rsidRPr="00783749">
        <w:rPr>
          <w:rFonts w:asciiTheme="minorHAnsi" w:eastAsiaTheme="minorEastAsia" w:hAnsiTheme="minorHAnsi" w:cstheme="minorHAnsi"/>
          <w:lang w:eastAsia="zh-CN"/>
        </w:rPr>
        <w:t>Du</w:t>
      </w:r>
      <w:r w:rsidRPr="00783749">
        <w:rPr>
          <w:rFonts w:asciiTheme="minorHAnsi" w:hAnsiTheme="minorHAnsi" w:cstheme="minorHAnsi"/>
        </w:rPr>
        <w:t>ring the previous meeting, it has been agreed that</w:t>
      </w:r>
    </w:p>
    <w:tbl>
      <w:tblPr>
        <w:tblStyle w:val="af4"/>
        <w:tblW w:w="0" w:type="auto"/>
        <w:tblLook w:val="04A0" w:firstRow="1" w:lastRow="0" w:firstColumn="1" w:lastColumn="0" w:noHBand="0" w:noVBand="1"/>
      </w:tblPr>
      <w:tblGrid>
        <w:gridCol w:w="9962"/>
      </w:tblGrid>
      <w:tr w:rsidR="002B0CFE" w:rsidRPr="00783749" w14:paraId="7190D09E" w14:textId="77777777" w:rsidTr="002B0CFE">
        <w:tc>
          <w:tcPr>
            <w:tcW w:w="9962" w:type="dxa"/>
          </w:tcPr>
          <w:p w14:paraId="5DF088A8" w14:textId="77777777" w:rsidR="005C5893" w:rsidRPr="005C5893" w:rsidRDefault="005C5893" w:rsidP="005C5893">
            <w:pPr>
              <w:rPr>
                <w:rFonts w:ascii="Calibri" w:hAnsi="Calibri" w:cs="Calibri"/>
                <w:i/>
                <w:color w:val="FF0000"/>
                <w:kern w:val="2"/>
                <w:sz w:val="18"/>
                <w:szCs w:val="16"/>
                <w:u w:val="single"/>
              </w:rPr>
            </w:pPr>
            <w:r w:rsidRPr="005C5893">
              <w:rPr>
                <w:rFonts w:ascii="Calibri" w:hAnsi="Calibri" w:cs="Calibri"/>
                <w:i/>
                <w:color w:val="FF0000"/>
                <w:kern w:val="2"/>
                <w:sz w:val="18"/>
                <w:szCs w:val="16"/>
                <w:u w:val="single"/>
              </w:rPr>
              <w:t>Inter-RAT SHR</w:t>
            </w:r>
          </w:p>
          <w:p w14:paraId="6FB78C3D" w14:textId="77777777"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T310 and T312 related triggers are to be considered for inter-RAT SHR from NR to LTE.</w:t>
            </w:r>
          </w:p>
          <w:p w14:paraId="6F8BFFFC" w14:textId="77777777"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68E86240"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Source NR cell information</w:t>
            </w:r>
          </w:p>
          <w:p w14:paraId="360E2D42"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Target LTE cell information</w:t>
            </w:r>
          </w:p>
          <w:p w14:paraId="58EB080E"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Measurement results for source, target and neighbours</w:t>
            </w:r>
          </w:p>
          <w:p w14:paraId="4BA0DB13" w14:textId="77777777" w:rsidR="005C5893" w:rsidRPr="005C5893" w:rsidRDefault="005C5893" w:rsidP="005C5893">
            <w:pPr>
              <w:pStyle w:val="40"/>
              <w:spacing w:after="160" w:line="254" w:lineRule="auto"/>
              <w:rPr>
                <w:rFonts w:ascii="Calibri" w:eastAsia="MS Mincho" w:hAnsi="Calibri" w:cs="Calibri"/>
                <w:i/>
                <w:iCs/>
                <w:color w:val="00B050"/>
                <w:kern w:val="2"/>
                <w:sz w:val="18"/>
                <w:szCs w:val="16"/>
              </w:rPr>
            </w:pPr>
            <w:r w:rsidRPr="005C5893">
              <w:rPr>
                <w:rFonts w:ascii="Calibri" w:eastAsia="MS Mincho" w:hAnsi="Calibri" w:cs="Calibri"/>
                <w:i/>
                <w:iCs/>
                <w:color w:val="00B050"/>
                <w:kern w:val="2"/>
                <w:sz w:val="18"/>
                <w:szCs w:val="16"/>
              </w:rPr>
              <w:t>Cause to indicate which inter-RAT SHR triggering condition was met</w:t>
            </w:r>
          </w:p>
          <w:p w14:paraId="75014782" w14:textId="77777777" w:rsidR="005C5893" w:rsidRPr="005C5893" w:rsidRDefault="005C5893" w:rsidP="005C5893">
            <w:pPr>
              <w:pStyle w:val="40"/>
              <w:spacing w:after="160" w:line="254" w:lineRule="auto"/>
              <w:rPr>
                <w:rFonts w:ascii="Calibri" w:hAnsi="Calibri" w:cs="Calibri"/>
                <w:i/>
                <w:iCs/>
                <w:color w:val="00B050"/>
                <w:kern w:val="2"/>
                <w:sz w:val="18"/>
                <w:szCs w:val="16"/>
              </w:rPr>
            </w:pPr>
            <w:r w:rsidRPr="005C5893">
              <w:rPr>
                <w:rFonts w:ascii="Calibri" w:hAnsi="Calibri" w:cs="Calibri"/>
                <w:i/>
                <w:iCs/>
                <w:color w:val="00B050"/>
                <w:kern w:val="2"/>
                <w:sz w:val="18"/>
                <w:szCs w:val="16"/>
              </w:rPr>
              <w:t>UE location Information</w:t>
            </w:r>
          </w:p>
          <w:p w14:paraId="4D213DBD" w14:textId="5D8A99DD"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 xml:space="preserve">RAN3 thinks that all CHO related information in intra-NR SHR (e.g., time from CHO configuration to execution) is not applicable for inter-RAT SHR. </w:t>
            </w:r>
          </w:p>
          <w:p w14:paraId="6672E0D8" w14:textId="77777777" w:rsidR="005C5893" w:rsidRPr="005C5893" w:rsidRDefault="005C5893" w:rsidP="005C5893">
            <w:pPr>
              <w:rPr>
                <w:rFonts w:ascii="Calibri" w:hAnsi="Calibri" w:cs="Calibri"/>
                <w:i/>
                <w:color w:val="FF0000"/>
                <w:kern w:val="2"/>
                <w:sz w:val="18"/>
                <w:szCs w:val="16"/>
              </w:rPr>
            </w:pPr>
            <w:r w:rsidRPr="005C5893">
              <w:rPr>
                <w:rFonts w:ascii="Calibri" w:hAnsi="Calibri" w:cs="Calibri"/>
                <w:i/>
                <w:color w:val="FF0000"/>
                <w:kern w:val="2"/>
                <w:sz w:val="18"/>
                <w:szCs w:val="16"/>
                <w:u w:val="single"/>
              </w:rPr>
              <w:t>Inter-RAT SHR</w:t>
            </w:r>
          </w:p>
          <w:p w14:paraId="602899E1" w14:textId="77777777" w:rsidR="005C5893" w:rsidRPr="005C5893" w:rsidRDefault="005C5893" w:rsidP="005C5893">
            <w:pPr>
              <w:rPr>
                <w:rFonts w:ascii="Calibri" w:hAnsi="Calibri" w:cs="Calibri"/>
                <w:i/>
                <w:iCs/>
                <w:color w:val="00B050"/>
                <w:kern w:val="2"/>
                <w:sz w:val="18"/>
                <w:szCs w:val="16"/>
              </w:rPr>
            </w:pPr>
            <w:r w:rsidRPr="005C5893">
              <w:rPr>
                <w:rFonts w:ascii="Calibri" w:hAnsi="Calibri" w:cs="Calibri"/>
                <w:i/>
                <w:iCs/>
                <w:color w:val="00B050"/>
                <w:kern w:val="2"/>
                <w:sz w:val="18"/>
                <w:szCs w:val="16"/>
              </w:rPr>
              <w:t>WA: S</w:t>
            </w:r>
            <w:r w:rsidRPr="005C5893">
              <w:rPr>
                <w:rFonts w:ascii="Calibri" w:hAnsi="Calibri" w:cs="Calibri" w:hint="eastAsia"/>
                <w:i/>
                <w:iCs/>
                <w:color w:val="00B050"/>
                <w:kern w:val="2"/>
                <w:sz w:val="18"/>
                <w:szCs w:val="16"/>
              </w:rPr>
              <w:t>upport inter-RAT SHR from LTE to NR</w:t>
            </w:r>
            <w:r w:rsidRPr="005C5893">
              <w:rPr>
                <w:rFonts w:ascii="Calibri" w:hAnsi="Calibri" w:cs="Calibri"/>
                <w:i/>
                <w:iCs/>
                <w:color w:val="00B050"/>
                <w:kern w:val="2"/>
                <w:sz w:val="18"/>
                <w:szCs w:val="16"/>
              </w:rPr>
              <w:t xml:space="preserve"> at least for T304 if no impact on LTE.</w:t>
            </w:r>
          </w:p>
          <w:p w14:paraId="10A43DA9" w14:textId="77777777" w:rsidR="005C5893" w:rsidRPr="005C5893" w:rsidRDefault="005C5893" w:rsidP="005C5893">
            <w:pPr>
              <w:rPr>
                <w:rFonts w:ascii="Calibri" w:hAnsi="Calibri" w:cs="Calibri"/>
                <w:i/>
                <w:color w:val="FF0000"/>
                <w:kern w:val="2"/>
                <w:sz w:val="18"/>
                <w:szCs w:val="16"/>
              </w:rPr>
            </w:pPr>
            <w:r w:rsidRPr="005C5893">
              <w:rPr>
                <w:rFonts w:ascii="Calibri" w:hAnsi="Calibri" w:cs="Calibri"/>
                <w:i/>
                <w:color w:val="FF0000"/>
                <w:kern w:val="2"/>
                <w:sz w:val="18"/>
                <w:szCs w:val="16"/>
              </w:rPr>
              <w:t>WA: In R18, UE context retrieval in source Node is supported for inter-RAT SHR, the details are FFS.</w:t>
            </w:r>
          </w:p>
          <w:p w14:paraId="07DE259C" w14:textId="77777777" w:rsidR="005C5893" w:rsidRPr="005C5893" w:rsidRDefault="005C5893" w:rsidP="005C5893">
            <w:pPr>
              <w:rPr>
                <w:rFonts w:ascii="Calibri" w:hAnsi="Calibri" w:cs="Calibri"/>
                <w:i/>
                <w:color w:val="FF0000"/>
                <w:kern w:val="2"/>
                <w:sz w:val="18"/>
                <w:szCs w:val="16"/>
              </w:rPr>
            </w:pPr>
            <w:r w:rsidRPr="005C5893">
              <w:rPr>
                <w:rFonts w:ascii="Calibri" w:hAnsi="Calibri" w:cs="Calibri"/>
                <w:i/>
                <w:color w:val="FF0000"/>
                <w:kern w:val="2"/>
                <w:sz w:val="18"/>
                <w:szCs w:val="16"/>
              </w:rPr>
              <w:t>This WA does not limit to the forwarding mechanism.</w:t>
            </w:r>
          </w:p>
          <w:p w14:paraId="293DA1F5" w14:textId="221B018E" w:rsidR="005C5893" w:rsidRDefault="005C5893" w:rsidP="005C5893">
            <w:pPr>
              <w:rPr>
                <w:rFonts w:ascii="Calibri" w:hAnsi="Calibri" w:cs="Calibri"/>
                <w:i/>
                <w:iCs/>
                <w:color w:val="00B050"/>
                <w:kern w:val="2"/>
                <w:sz w:val="16"/>
                <w:szCs w:val="16"/>
              </w:rPr>
            </w:pPr>
          </w:p>
          <w:p w14:paraId="01176A93" w14:textId="13851246" w:rsidR="005C5893" w:rsidRPr="005C5893" w:rsidRDefault="005C5893" w:rsidP="005C5893">
            <w:pPr>
              <w:rPr>
                <w:rFonts w:ascii="Calibri" w:hAnsi="Calibri" w:cs="Calibri"/>
                <w:i/>
                <w:iCs/>
                <w:color w:val="FF0000"/>
                <w:kern w:val="2"/>
                <w:sz w:val="16"/>
                <w:szCs w:val="16"/>
              </w:rPr>
            </w:pPr>
            <w:r w:rsidRPr="005C5893">
              <w:rPr>
                <w:rFonts w:ascii="Calibri" w:hAnsi="Calibri" w:cs="Calibri"/>
                <w:iCs/>
                <w:color w:val="FF0000"/>
                <w:kern w:val="2"/>
                <w:sz w:val="16"/>
                <w:szCs w:val="16"/>
              </w:rPr>
              <w:t>RAN3 #119</w:t>
            </w:r>
          </w:p>
          <w:p w14:paraId="227A1432" w14:textId="77777777" w:rsidR="005C5893" w:rsidRPr="00D17387" w:rsidRDefault="005C5893" w:rsidP="005C5893">
            <w:pPr>
              <w:rPr>
                <w:rFonts w:ascii="Calibri" w:eastAsia="等线" w:hAnsi="Calibri" w:cs="Calibri"/>
                <w:b/>
                <w:color w:val="0000FF"/>
                <w:sz w:val="18"/>
                <w:szCs w:val="24"/>
              </w:rPr>
            </w:pPr>
            <w:r w:rsidRPr="00D17387">
              <w:rPr>
                <w:rFonts w:ascii="Calibri" w:eastAsia="等线" w:hAnsi="Calibri" w:cs="Calibri"/>
                <w:b/>
                <w:color w:val="0000FF"/>
                <w:sz w:val="18"/>
                <w:szCs w:val="24"/>
              </w:rPr>
              <w:t>RAN3 should specify mechanisms on how to correlate NR SHR and LTE RLF Report in case there is a RLF shortly after a successful inter-RAT HO from NR to LTE?</w:t>
            </w:r>
          </w:p>
          <w:p w14:paraId="40658467" w14:textId="77777777" w:rsidR="005C5893" w:rsidRPr="00D17387" w:rsidRDefault="005C5893" w:rsidP="005C5893">
            <w:pPr>
              <w:widowControl w:val="0"/>
              <w:ind w:left="144" w:hanging="144"/>
              <w:rPr>
                <w:rFonts w:ascii="Calibri" w:eastAsia="等线" w:hAnsi="Calibri" w:cs="Calibri"/>
                <w:b/>
                <w:color w:val="0000FF"/>
                <w:sz w:val="18"/>
                <w:szCs w:val="24"/>
              </w:rPr>
            </w:pPr>
            <w:r w:rsidRPr="00D17387">
              <w:rPr>
                <w:rFonts w:ascii="Calibri" w:eastAsia="等线" w:hAnsi="Calibri" w:cs="Calibri"/>
                <w:b/>
                <w:color w:val="0000FF"/>
                <w:sz w:val="18"/>
                <w:szCs w:val="24"/>
              </w:rPr>
              <w:t>The content of inter-SHR?</w:t>
            </w:r>
          </w:p>
          <w:p w14:paraId="11952CC7" w14:textId="77777777" w:rsidR="005C5893" w:rsidRPr="00D17387" w:rsidRDefault="005C5893" w:rsidP="005C5893">
            <w:pPr>
              <w:rPr>
                <w:rFonts w:ascii="Calibri" w:eastAsia="等线" w:hAnsi="Calibri" w:cs="Calibri"/>
                <w:b/>
                <w:color w:val="0000FF"/>
                <w:sz w:val="18"/>
                <w:szCs w:val="24"/>
              </w:rPr>
            </w:pPr>
            <w:r w:rsidRPr="00D17387">
              <w:rPr>
                <w:rFonts w:ascii="Calibri" w:eastAsia="等线" w:hAnsi="Calibri" w:cs="Calibri"/>
                <w:b/>
                <w:color w:val="0000FF"/>
                <w:sz w:val="18"/>
                <w:szCs w:val="24"/>
              </w:rPr>
              <w:t>ACCESS AND MOBILITY INDICATION procedure is adopted as SHR forwarding mechanism for inter-RAT SHR?</w:t>
            </w:r>
          </w:p>
          <w:p w14:paraId="0BF65FC0" w14:textId="77777777" w:rsidR="005C5893" w:rsidRPr="00D17387" w:rsidRDefault="005C5893" w:rsidP="005C5893">
            <w:pPr>
              <w:spacing w:before="120" w:after="0"/>
              <w:rPr>
                <w:rFonts w:ascii="Calibri" w:eastAsia="等线" w:hAnsi="Calibri" w:cs="Calibri"/>
                <w:sz w:val="18"/>
                <w:szCs w:val="24"/>
                <w:u w:val="single"/>
              </w:rPr>
            </w:pPr>
            <w:r w:rsidRPr="00D17387">
              <w:rPr>
                <w:rFonts w:ascii="Calibri" w:eastAsia="等线" w:hAnsi="Calibri" w:cs="Calibri"/>
                <w:b/>
                <w:color w:val="008000"/>
                <w:sz w:val="18"/>
                <w:szCs w:val="24"/>
              </w:rPr>
              <w:t>RAN3 sees benefits to s</w:t>
            </w:r>
            <w:r w:rsidRPr="00D17387">
              <w:rPr>
                <w:rFonts w:ascii="Calibri" w:eastAsia="等线" w:hAnsi="Calibri" w:cs="Calibri" w:hint="eastAsia"/>
                <w:b/>
                <w:color w:val="008000"/>
                <w:sz w:val="18"/>
                <w:szCs w:val="24"/>
              </w:rPr>
              <w:t>upport inter-RAT SHR from LTE to NR</w:t>
            </w:r>
            <w:r w:rsidRPr="00D17387">
              <w:rPr>
                <w:rFonts w:ascii="Calibri" w:eastAsia="等线" w:hAnsi="Calibri" w:cs="Calibri"/>
                <w:b/>
                <w:color w:val="008000"/>
                <w:sz w:val="18"/>
                <w:szCs w:val="24"/>
              </w:rPr>
              <w:t xml:space="preserve"> for T304 trigger with no impact on LTE in R</w:t>
            </w:r>
            <w:r w:rsidRPr="00D17387">
              <w:rPr>
                <w:rFonts w:ascii="Calibri" w:eastAsia="等线" w:hAnsi="Calibri" w:cs="Calibri" w:hint="eastAsia"/>
                <w:b/>
                <w:color w:val="008000"/>
                <w:sz w:val="18"/>
                <w:szCs w:val="24"/>
              </w:rPr>
              <w:t>el-</w:t>
            </w:r>
            <w:r w:rsidRPr="00D17387">
              <w:rPr>
                <w:rFonts w:ascii="Calibri" w:eastAsia="等线" w:hAnsi="Calibri" w:cs="Calibri"/>
                <w:b/>
                <w:color w:val="008000"/>
                <w:sz w:val="18"/>
                <w:szCs w:val="24"/>
              </w:rPr>
              <w:t>18</w:t>
            </w:r>
            <w:r w:rsidRPr="00D17387">
              <w:rPr>
                <w:rFonts w:ascii="Calibri" w:eastAsia="等线" w:hAnsi="Calibri" w:cs="Calibri" w:hint="eastAsia"/>
                <w:b/>
                <w:color w:val="008000"/>
                <w:sz w:val="18"/>
                <w:szCs w:val="24"/>
              </w:rPr>
              <w:t>.</w:t>
            </w:r>
          </w:p>
          <w:p w14:paraId="05C41149" w14:textId="77777777" w:rsidR="005C5893" w:rsidRPr="00D17387" w:rsidRDefault="005C5893" w:rsidP="005C5893">
            <w:pPr>
              <w:rPr>
                <w:rFonts w:ascii="Calibri" w:eastAsia="等线" w:hAnsi="Calibri" w:cs="Calibri"/>
                <w:sz w:val="18"/>
                <w:szCs w:val="24"/>
              </w:rPr>
            </w:pPr>
            <w:r w:rsidRPr="00D17387">
              <w:rPr>
                <w:rFonts w:ascii="Calibri" w:eastAsia="等线" w:hAnsi="Calibri" w:cs="Calibri"/>
                <w:sz w:val="18"/>
                <w:szCs w:val="24"/>
              </w:rPr>
              <w:t>Option 1: The receiving node forwards the inter-RAT SHR to source node, then source node forwards the inter-RAT SHR to target node</w:t>
            </w:r>
          </w:p>
          <w:p w14:paraId="4DD7CA67" w14:textId="77777777" w:rsidR="005C5893" w:rsidRPr="00D17387" w:rsidRDefault="005C5893" w:rsidP="005C5893">
            <w:pPr>
              <w:rPr>
                <w:rFonts w:ascii="Calibri" w:eastAsia="等线" w:hAnsi="Calibri" w:cs="Calibri"/>
                <w:sz w:val="18"/>
                <w:szCs w:val="24"/>
              </w:rPr>
            </w:pPr>
            <w:r w:rsidRPr="00D17387">
              <w:rPr>
                <w:rFonts w:ascii="Calibri" w:eastAsia="等线" w:hAnsi="Calibri" w:cs="Calibri"/>
                <w:sz w:val="18"/>
                <w:szCs w:val="24"/>
              </w:rPr>
              <w:t>Option 2: The receiving node forwards the inter-RAT SHR to target node, then target node forwards the inter-RAT SHR to source node</w:t>
            </w:r>
          </w:p>
          <w:p w14:paraId="6A7CA3B0" w14:textId="77777777" w:rsidR="005C5893" w:rsidRPr="00D17387" w:rsidRDefault="005C5893" w:rsidP="005C5893">
            <w:pPr>
              <w:rPr>
                <w:rFonts w:ascii="Calibri" w:eastAsia="等线" w:hAnsi="Calibri" w:cs="Calibri"/>
                <w:sz w:val="18"/>
                <w:szCs w:val="24"/>
              </w:rPr>
            </w:pPr>
            <w:r w:rsidRPr="00D17387">
              <w:rPr>
                <w:rFonts w:ascii="Calibri" w:eastAsia="等线" w:hAnsi="Calibri" w:cs="Calibri"/>
                <w:sz w:val="18"/>
                <w:szCs w:val="24"/>
              </w:rPr>
              <w:t>Option 3: The receiving node forwards the inter-RAT SHR to corresponding node which generates the SHR trigger condition that triggers the inter-RAT SHR</w:t>
            </w:r>
          </w:p>
          <w:p w14:paraId="4AA081B6" w14:textId="77777777" w:rsidR="005C5893" w:rsidRPr="00D17387" w:rsidRDefault="005C5893" w:rsidP="005C5893">
            <w:pPr>
              <w:rPr>
                <w:rFonts w:ascii="Calibri" w:eastAsia="等线" w:hAnsi="Calibri" w:cs="Calibri"/>
                <w:b/>
                <w:color w:val="008000"/>
                <w:sz w:val="18"/>
                <w:szCs w:val="24"/>
              </w:rPr>
            </w:pPr>
            <w:r w:rsidRPr="00D17387">
              <w:rPr>
                <w:rFonts w:ascii="Calibri" w:eastAsia="等线" w:hAnsi="Calibri" w:cs="Calibri"/>
                <w:b/>
                <w:color w:val="008000"/>
                <w:sz w:val="18"/>
                <w:szCs w:val="24"/>
              </w:rPr>
              <w:t>Take Option 3 (The receiving node forwards the inter-RAT SHR to corresponding node which generates the SHR trigger condition that triggers the inter-RAT SHR) as baseline for SHR forwarding mechanism in Rel-18.</w:t>
            </w:r>
          </w:p>
          <w:p w14:paraId="0A9CF6BE" w14:textId="77777777" w:rsidR="005C5893" w:rsidRPr="00D17387" w:rsidRDefault="005C5893" w:rsidP="005C5893">
            <w:pPr>
              <w:rPr>
                <w:rFonts w:ascii="Calibri" w:eastAsia="等线" w:hAnsi="Calibri" w:cs="Calibri"/>
                <w:b/>
                <w:color w:val="008000"/>
                <w:sz w:val="18"/>
                <w:szCs w:val="24"/>
              </w:rPr>
            </w:pPr>
            <w:r w:rsidRPr="00D17387">
              <w:rPr>
                <w:rFonts w:ascii="Calibri" w:eastAsia="等线" w:hAnsi="Calibri" w:cs="Calibri"/>
                <w:b/>
                <w:color w:val="008000"/>
                <w:sz w:val="18"/>
                <w:szCs w:val="24"/>
              </w:rPr>
              <w:lastRenderedPageBreak/>
              <w:t>WA: The content of inter-RAT SHR from LTE to NR includes at least Source LTE cell, Target NR cell .</w:t>
            </w:r>
          </w:p>
          <w:p w14:paraId="42B27F69" w14:textId="77777777" w:rsidR="005C5893" w:rsidRPr="00D17387" w:rsidRDefault="005C5893" w:rsidP="005C5893">
            <w:pPr>
              <w:rPr>
                <w:rFonts w:ascii="Calibri" w:eastAsia="等线" w:hAnsi="Calibri" w:cs="Calibri"/>
                <w:b/>
                <w:color w:val="0000FF"/>
                <w:sz w:val="18"/>
                <w:szCs w:val="24"/>
              </w:rPr>
            </w:pPr>
            <w:r w:rsidRPr="00D17387">
              <w:rPr>
                <w:rFonts w:ascii="Calibri" w:eastAsia="等线" w:hAnsi="Calibri" w:cs="Calibri"/>
                <w:b/>
                <w:color w:val="0000FF"/>
                <w:sz w:val="18"/>
                <w:szCs w:val="24"/>
              </w:rPr>
              <w:t>Further information from the UE is FFS depending on if and how we support correlation mechanism and UE context retrieval mechanism.</w:t>
            </w:r>
          </w:p>
          <w:p w14:paraId="4ABA8BC5" w14:textId="662487C9" w:rsidR="00CE6E79" w:rsidRPr="005C5893" w:rsidRDefault="00CE6E79" w:rsidP="00CE6E79">
            <w:pPr>
              <w:rPr>
                <w:rFonts w:ascii="Calibri" w:hAnsi="Calibri" w:cs="Calibri"/>
                <w:b/>
                <w:color w:val="0000FF"/>
                <w:sz w:val="18"/>
                <w:szCs w:val="24"/>
              </w:rPr>
            </w:pPr>
          </w:p>
        </w:tc>
      </w:tr>
    </w:tbl>
    <w:p w14:paraId="6DC57EEA" w14:textId="04A0B794" w:rsidR="002B0CFE" w:rsidRPr="00783749" w:rsidRDefault="005C5893" w:rsidP="00783749">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In this tdoc, we will further address those remaining issues for inter-RAT SHR</w:t>
      </w:r>
      <w:r w:rsidR="00D265F4">
        <w:rPr>
          <w:rFonts w:asciiTheme="minorHAnsi" w:eastAsiaTheme="minorEastAsia" w:hAnsiTheme="minorHAnsi" w:cstheme="minorHAnsi"/>
          <w:lang w:eastAsia="zh-CN"/>
        </w:rPr>
        <w:t xml:space="preserve"> </w:t>
      </w:r>
    </w:p>
    <w:p w14:paraId="11968D4C" w14:textId="0F6C8186" w:rsidR="007F3E85" w:rsidRDefault="00501135" w:rsidP="007F3E85">
      <w:pPr>
        <w:pStyle w:val="1"/>
        <w:rPr>
          <w:rFonts w:asciiTheme="minorHAnsi" w:hAnsiTheme="minorHAnsi" w:cstheme="minorHAnsi"/>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bookmarkStart w:id="18" w:name="_Toc126137454"/>
      <w:bookmarkStart w:id="19" w:name="_Toc126137559"/>
      <w:r w:rsidRPr="007A1EB3">
        <w:rPr>
          <w:rFonts w:asciiTheme="minorHAnsi" w:hAnsiTheme="minorHAnsi" w:cstheme="minorHAnsi"/>
        </w:rPr>
        <w:t>2</w:t>
      </w:r>
      <w:r w:rsidRPr="007A1EB3">
        <w:rPr>
          <w:rFonts w:asciiTheme="minorHAnsi" w:hAnsiTheme="minorHAnsi" w:cstheme="minorHAnsi"/>
        </w:rPr>
        <w:tab/>
        <w:t>Discussion</w:t>
      </w: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Toc126137455"/>
      <w:bookmarkStart w:id="28" w:name="_Toc126137560"/>
      <w:bookmarkStart w:id="29" w:name="_Hlk16664956"/>
      <w:bookmarkEnd w:id="11"/>
      <w:bookmarkEnd w:id="12"/>
      <w:bookmarkEnd w:id="13"/>
      <w:bookmarkEnd w:id="14"/>
      <w:bookmarkEnd w:id="15"/>
      <w:bookmarkEnd w:id="16"/>
      <w:bookmarkEnd w:id="17"/>
      <w:bookmarkEnd w:id="18"/>
      <w:bookmarkEnd w:id="19"/>
    </w:p>
    <w:p w14:paraId="59450D24" w14:textId="4EA2E00F" w:rsidR="00D265F4" w:rsidRDefault="005C5893"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hint="cs"/>
          <w:lang w:val="en-US" w:eastAsia="zh-CN"/>
        </w:rPr>
        <w:t>F</w:t>
      </w:r>
      <w:r>
        <w:rPr>
          <w:rFonts w:asciiTheme="minorHAnsi" w:eastAsiaTheme="minorEastAsia" w:hAnsiTheme="minorHAnsi" w:cstheme="minorHAnsi"/>
          <w:lang w:val="en-US" w:eastAsia="zh-CN"/>
        </w:rPr>
        <w:t>irstly, one of the remaining issues is if NR SHR container provide to the ng-eNB, then the node should be enhanced to support decode NR format report. Therefore, how to correlate NR SHR and LTE RLF report in case there is a RLF shortly after a successful inter-RAT HO from NR to LTE, should be specified.</w:t>
      </w:r>
    </w:p>
    <w:p w14:paraId="597A7730" w14:textId="0F0C37D9" w:rsidR="005C5893" w:rsidRDefault="005C5893"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Mainly there are three options can be considered:</w:t>
      </w:r>
    </w:p>
    <w:p w14:paraId="62C72B10" w14:textId="35D862CC" w:rsidR="005C5893" w:rsidRDefault="005C5893"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Alt1- Correlation in target eNB</w:t>
      </w:r>
      <w:r w:rsidR="0007159B">
        <w:rPr>
          <w:rFonts w:asciiTheme="minorHAnsi" w:eastAsiaTheme="minorEastAsia" w:hAnsiTheme="minorHAnsi" w:cstheme="minorHAnsi"/>
          <w:lang w:val="en-US" w:eastAsia="zh-CN"/>
        </w:rPr>
        <w:t>, which is similar to the correlation mechanism as Rel-17 intra-NR SHR. However, the drawback is target eNB might not be able to correlate in case only one of the reports is retrieved since it does not know how long to hold a certain report just for correlation purpose.</w:t>
      </w:r>
    </w:p>
    <w:p w14:paraId="49530353" w14:textId="6F9B0A21" w:rsidR="0007159B" w:rsidRDefault="0007159B"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Alt2- Correlation in source gNB, which is different correlation mechanism from Rel-17 intra-NR SHR so that might cause more discussion. In addition, even if UE reports source C-RNTI in SHR, it is still hard to correlate the source C-RNTI in SHR and target C-RNTI in RLF report.</w:t>
      </w:r>
    </w:p>
    <w:p w14:paraId="29E08A14" w14:textId="5028042A" w:rsidR="0007159B" w:rsidRDefault="0007159B"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Alt3- No correlation needed. Since in Rel-18, only T310/T312 is supported for the source NR node. Then the inter-RAT SHR from NR to LTE is mainly to optimize RLM/BFD configurations in the source NR node, so tight correlation is not needed between the NR node configuration with the RLF in target eNB node. Furthermore, some unnecessary enhancement for eNB node should be applied if to put the target C-RNTI inside the NR SHR container. Last but not least, unnecessary enhancement on LTE node would be applied since the target eNB should send the inter-RAT SHR report to source NR node.</w:t>
      </w:r>
    </w:p>
    <w:p w14:paraId="2A349A72" w14:textId="0E4E9CCA" w:rsidR="002C6A9C" w:rsidRDefault="002C6A9C" w:rsidP="002C6A9C">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Therefore, considering both alt-1 and alt-2 are not perfect solutions and further enhancement needs more effort to discuss, we do not think the correlation between NR SHR and LTE RLF report is needed.</w:t>
      </w:r>
    </w:p>
    <w:p w14:paraId="78E1B4AA" w14:textId="2C281E4E" w:rsidR="002C6A9C" w:rsidRDefault="002C6A9C" w:rsidP="002C6A9C">
      <w:pPr>
        <w:pStyle w:val="ProposalStyle"/>
        <w:rPr>
          <w:lang w:val="en-US"/>
        </w:rPr>
      </w:pPr>
      <w:bookmarkStart w:id="30" w:name="_Toc131670322"/>
      <w:bookmarkStart w:id="31" w:name="_Toc131670338"/>
      <w:bookmarkStart w:id="32" w:name="_Toc131670396"/>
      <w:r>
        <w:rPr>
          <w:rFonts w:hint="eastAsia"/>
          <w:lang w:val="en-US"/>
        </w:rPr>
        <w:t>N</w:t>
      </w:r>
      <w:r>
        <w:rPr>
          <w:lang w:val="en-US"/>
        </w:rPr>
        <w:t>o need to correlate NR SHR and LTE RLF report for either source gNB or target eNB.</w:t>
      </w:r>
      <w:bookmarkEnd w:id="30"/>
      <w:bookmarkEnd w:id="31"/>
      <w:bookmarkEnd w:id="32"/>
    </w:p>
    <w:p w14:paraId="4298E74D" w14:textId="77777777" w:rsidR="00AF50D6" w:rsidRPr="00AF50D6" w:rsidRDefault="00AF50D6" w:rsidP="00AF50D6">
      <w:pPr>
        <w:rPr>
          <w:rFonts w:ascii="Calibri" w:hAnsi="Calibri" w:cs="Calibri"/>
          <w:lang w:val="en-US"/>
        </w:rPr>
      </w:pPr>
      <w:bookmarkStart w:id="33" w:name="_Toc131670323"/>
      <w:r w:rsidRPr="00AF50D6">
        <w:rPr>
          <w:rFonts w:ascii="Calibri" w:hAnsi="Calibri" w:cs="Calibri"/>
          <w:lang w:val="en-US"/>
        </w:rPr>
        <w:t>Then for the content reported in inter-SHR from LTE to NR, we think currently at least source LTE cell and target NR cell should be included. For the source C-RNTI and target C-RNTI, no need to included since the correlation is not needed from our view.</w:t>
      </w:r>
      <w:bookmarkEnd w:id="33"/>
    </w:p>
    <w:p w14:paraId="12B9158B" w14:textId="424E2FC1" w:rsidR="00AF50D6" w:rsidRDefault="00AF50D6" w:rsidP="00AF50D6">
      <w:pPr>
        <w:pStyle w:val="ProposalStyle"/>
        <w:rPr>
          <w:lang w:val="en-US"/>
        </w:rPr>
      </w:pPr>
      <w:bookmarkStart w:id="34" w:name="_Toc131670324"/>
      <w:bookmarkStart w:id="35" w:name="_Toc131670339"/>
      <w:bookmarkStart w:id="36" w:name="_Toc131670397"/>
      <w:r>
        <w:rPr>
          <w:lang w:val="en-US"/>
        </w:rPr>
        <w:t>The source LTE cell and target NR cell should be included in inter-SHR from LTE to NR.</w:t>
      </w:r>
      <w:bookmarkEnd w:id="34"/>
      <w:bookmarkEnd w:id="35"/>
      <w:bookmarkEnd w:id="36"/>
    </w:p>
    <w:p w14:paraId="4C8AE7A3" w14:textId="6A490BBB" w:rsidR="00AF50D6" w:rsidRDefault="00AF50D6" w:rsidP="00AF50D6">
      <w:pPr>
        <w:pStyle w:val="ProposalStyle"/>
        <w:rPr>
          <w:lang w:val="en-US"/>
        </w:rPr>
      </w:pPr>
      <w:bookmarkStart w:id="37" w:name="_Toc131670398"/>
      <w:r>
        <w:rPr>
          <w:lang w:val="en-US"/>
        </w:rPr>
        <w:t>No need to include further information from the UE since correlation mechanism is not needed.</w:t>
      </w:r>
      <w:bookmarkEnd w:id="37"/>
    </w:p>
    <w:p w14:paraId="1A1F57FA" w14:textId="0B95F3DD" w:rsidR="00AF50D6" w:rsidRPr="005C5893" w:rsidRDefault="00AF50D6" w:rsidP="00AF50D6">
      <w:pPr>
        <w:pStyle w:val="ProposalStyle"/>
        <w:numPr>
          <w:ilvl w:val="0"/>
          <w:numId w:val="0"/>
        </w:numPr>
        <w:rPr>
          <w:lang w:val="en-US"/>
        </w:rPr>
      </w:pPr>
      <w:r>
        <w:rPr>
          <w:b w:val="0"/>
          <w:lang w:val="en-US"/>
        </w:rPr>
        <w:t xml:space="preserve"> </w:t>
      </w:r>
    </w:p>
    <w:p w14:paraId="591324FC" w14:textId="77777777" w:rsidR="00501135" w:rsidRPr="007A1EB3" w:rsidRDefault="00501135">
      <w:pPr>
        <w:pStyle w:val="1"/>
        <w:rPr>
          <w:rFonts w:asciiTheme="minorHAnsi" w:hAnsiTheme="minorHAnsi" w:cstheme="minorHAnsi"/>
        </w:rPr>
      </w:pPr>
      <w:r w:rsidRPr="007A1EB3">
        <w:rPr>
          <w:rFonts w:asciiTheme="minorHAnsi" w:hAnsiTheme="minorHAnsi" w:cstheme="minorHAnsi"/>
        </w:rPr>
        <w:t>3</w:t>
      </w:r>
      <w:r w:rsidRPr="007A1EB3">
        <w:rPr>
          <w:rFonts w:asciiTheme="minorHAnsi" w:hAnsiTheme="minorHAnsi" w:cstheme="minorHAnsi"/>
        </w:rPr>
        <w:tab/>
      </w:r>
      <w:r w:rsidR="0001024C" w:rsidRPr="007A1EB3">
        <w:rPr>
          <w:rFonts w:asciiTheme="minorHAnsi" w:hAnsiTheme="minorHAnsi" w:cstheme="minorHAnsi"/>
        </w:rPr>
        <w:t>Conclusion and Proposals</w:t>
      </w:r>
      <w:bookmarkEnd w:id="20"/>
      <w:bookmarkEnd w:id="21"/>
      <w:bookmarkEnd w:id="22"/>
      <w:bookmarkEnd w:id="23"/>
      <w:bookmarkEnd w:id="24"/>
      <w:bookmarkEnd w:id="25"/>
      <w:bookmarkEnd w:id="26"/>
      <w:bookmarkEnd w:id="27"/>
      <w:bookmarkEnd w:id="28"/>
    </w:p>
    <w:p w14:paraId="3E02E4C0" w14:textId="26C4F4C2" w:rsidR="00CD7395" w:rsidRDefault="003925AA" w:rsidP="00CA311A">
      <w:pPr>
        <w:pStyle w:val="Eyecatcher"/>
        <w:ind w:left="0" w:firstLine="0"/>
        <w:jc w:val="both"/>
        <w:rPr>
          <w:rFonts w:asciiTheme="minorHAnsi" w:eastAsiaTheme="minorEastAsia" w:hAnsiTheme="minorHAnsi" w:cstheme="minorHAnsi"/>
          <w:b w:val="0"/>
          <w:kern w:val="2"/>
          <w:sz w:val="21"/>
          <w:lang w:eastAsia="zh-CN"/>
        </w:rPr>
      </w:pPr>
      <w:r>
        <w:rPr>
          <w:rFonts w:asciiTheme="minorHAnsi" w:eastAsiaTheme="minorEastAsia" w:hAnsiTheme="minorHAnsi" w:cstheme="minorHAnsi" w:hint="eastAsia"/>
          <w:b w:val="0"/>
          <w:kern w:val="2"/>
          <w:sz w:val="21"/>
          <w:lang w:eastAsia="zh-CN"/>
        </w:rPr>
        <w:t>I</w:t>
      </w:r>
      <w:r>
        <w:rPr>
          <w:rFonts w:asciiTheme="minorHAnsi" w:eastAsiaTheme="minorEastAsia" w:hAnsiTheme="minorHAnsi" w:cstheme="minorHAnsi"/>
          <w:b w:val="0"/>
          <w:kern w:val="2"/>
          <w:sz w:val="21"/>
          <w:lang w:eastAsia="zh-CN"/>
        </w:rPr>
        <w:t xml:space="preserve">n this contribution, we have analysed </w:t>
      </w:r>
      <w:r w:rsidR="00AF50D6">
        <w:rPr>
          <w:rFonts w:asciiTheme="minorHAnsi" w:eastAsiaTheme="minorEastAsia" w:hAnsiTheme="minorHAnsi" w:cstheme="minorHAnsi"/>
          <w:b w:val="0"/>
          <w:kern w:val="2"/>
          <w:sz w:val="21"/>
          <w:lang w:eastAsia="zh-CN"/>
        </w:rPr>
        <w:t>the left issues for inter-RAT SHR, and the following proposals are given out:</w:t>
      </w:r>
    </w:p>
    <w:p w14:paraId="21BBEB7A" w14:textId="77777777" w:rsidR="00AF50D6" w:rsidRPr="00AF50D6" w:rsidRDefault="00783749">
      <w:pPr>
        <w:pStyle w:val="10"/>
        <w:tabs>
          <w:tab w:val="left" w:pos="1260"/>
          <w:tab w:val="right" w:leader="dot" w:pos="9962"/>
        </w:tabs>
        <w:rPr>
          <w:rFonts w:asciiTheme="minorHAnsi" w:eastAsiaTheme="minorEastAsia" w:hAnsiTheme="minorHAnsi" w:cstheme="minorHAnsi"/>
          <w:bCs w:val="0"/>
          <w:kern w:val="2"/>
          <w:sz w:val="21"/>
        </w:rPr>
      </w:pPr>
      <w:r w:rsidRPr="00AF50D6">
        <w:rPr>
          <w:rFonts w:asciiTheme="minorHAnsi" w:eastAsiaTheme="minorEastAsia" w:hAnsiTheme="minorHAnsi" w:cstheme="minorHAnsi"/>
          <w:kern w:val="2"/>
          <w:szCs w:val="20"/>
        </w:rPr>
        <w:fldChar w:fldCharType="begin"/>
      </w:r>
      <w:r w:rsidRPr="00AF50D6">
        <w:rPr>
          <w:rFonts w:asciiTheme="minorHAnsi" w:eastAsiaTheme="minorEastAsia" w:hAnsiTheme="minorHAnsi" w:cstheme="minorHAnsi"/>
          <w:kern w:val="2"/>
          <w:szCs w:val="20"/>
        </w:rPr>
        <w:instrText xml:space="preserve"> TOC \n \t "ProposalStyle,1" </w:instrText>
      </w:r>
      <w:r w:rsidRPr="00AF50D6">
        <w:rPr>
          <w:rFonts w:asciiTheme="minorHAnsi" w:eastAsiaTheme="minorEastAsia" w:hAnsiTheme="minorHAnsi" w:cstheme="minorHAnsi"/>
          <w:kern w:val="2"/>
          <w:szCs w:val="20"/>
        </w:rPr>
        <w:fldChar w:fldCharType="separate"/>
      </w:r>
      <w:r w:rsidR="00AF50D6" w:rsidRPr="00AF50D6">
        <w:rPr>
          <w:rFonts w:asciiTheme="minorHAnsi" w:hAnsiTheme="minorHAnsi" w:cstheme="minorHAnsi"/>
        </w:rPr>
        <w:t>Proposal1.</w:t>
      </w:r>
      <w:r w:rsidR="00AF50D6" w:rsidRPr="00AF50D6">
        <w:rPr>
          <w:rFonts w:asciiTheme="minorHAnsi" w:eastAsiaTheme="minorEastAsia" w:hAnsiTheme="minorHAnsi" w:cstheme="minorHAnsi"/>
          <w:bCs w:val="0"/>
          <w:kern w:val="2"/>
          <w:sz w:val="21"/>
        </w:rPr>
        <w:tab/>
      </w:r>
      <w:r w:rsidR="00AF50D6" w:rsidRPr="00AF50D6">
        <w:rPr>
          <w:rFonts w:asciiTheme="minorHAnsi" w:hAnsiTheme="minorHAnsi" w:cstheme="minorHAnsi"/>
        </w:rPr>
        <w:t>No need to correlate NR SHR and LTE RLF report for either source gNB or target eNB.</w:t>
      </w:r>
    </w:p>
    <w:p w14:paraId="41455F5E" w14:textId="77777777" w:rsidR="00AF50D6" w:rsidRPr="00AF50D6" w:rsidRDefault="00AF50D6">
      <w:pPr>
        <w:pStyle w:val="10"/>
        <w:tabs>
          <w:tab w:val="left" w:pos="1260"/>
          <w:tab w:val="right" w:leader="dot" w:pos="9962"/>
        </w:tabs>
        <w:rPr>
          <w:rFonts w:asciiTheme="minorHAnsi" w:eastAsiaTheme="minorEastAsia" w:hAnsiTheme="minorHAnsi" w:cstheme="minorHAnsi"/>
          <w:bCs w:val="0"/>
          <w:kern w:val="2"/>
          <w:sz w:val="21"/>
        </w:rPr>
      </w:pPr>
      <w:r w:rsidRPr="00AF50D6">
        <w:rPr>
          <w:rFonts w:asciiTheme="minorHAnsi" w:hAnsiTheme="minorHAnsi" w:cstheme="minorHAnsi"/>
        </w:rPr>
        <w:t>Proposal2.</w:t>
      </w:r>
      <w:r w:rsidRPr="00AF50D6">
        <w:rPr>
          <w:rFonts w:asciiTheme="minorHAnsi" w:eastAsiaTheme="minorEastAsia" w:hAnsiTheme="minorHAnsi" w:cstheme="minorHAnsi"/>
          <w:bCs w:val="0"/>
          <w:kern w:val="2"/>
          <w:sz w:val="21"/>
        </w:rPr>
        <w:tab/>
      </w:r>
      <w:r w:rsidRPr="00AF50D6">
        <w:rPr>
          <w:rFonts w:asciiTheme="minorHAnsi" w:hAnsiTheme="minorHAnsi" w:cstheme="minorHAnsi"/>
        </w:rPr>
        <w:t>The source LTE cell and target NR cell should be included in inter-SHR from LTE to NR.</w:t>
      </w:r>
    </w:p>
    <w:p w14:paraId="1D686DE5" w14:textId="77777777" w:rsidR="00AF50D6" w:rsidRPr="00AF50D6" w:rsidRDefault="00AF50D6">
      <w:pPr>
        <w:pStyle w:val="10"/>
        <w:tabs>
          <w:tab w:val="left" w:pos="1260"/>
          <w:tab w:val="right" w:leader="dot" w:pos="9962"/>
        </w:tabs>
        <w:rPr>
          <w:rFonts w:asciiTheme="minorHAnsi" w:eastAsiaTheme="minorEastAsia" w:hAnsiTheme="minorHAnsi" w:cstheme="minorHAnsi"/>
          <w:bCs w:val="0"/>
          <w:kern w:val="2"/>
          <w:sz w:val="21"/>
        </w:rPr>
      </w:pPr>
      <w:r w:rsidRPr="00AF50D6">
        <w:rPr>
          <w:rFonts w:asciiTheme="minorHAnsi" w:hAnsiTheme="minorHAnsi" w:cstheme="minorHAnsi"/>
        </w:rPr>
        <w:t>Proposal3.</w:t>
      </w:r>
      <w:r w:rsidRPr="00AF50D6">
        <w:rPr>
          <w:rFonts w:asciiTheme="minorHAnsi" w:eastAsiaTheme="minorEastAsia" w:hAnsiTheme="minorHAnsi" w:cstheme="minorHAnsi"/>
          <w:bCs w:val="0"/>
          <w:kern w:val="2"/>
          <w:sz w:val="21"/>
        </w:rPr>
        <w:tab/>
      </w:r>
      <w:r w:rsidRPr="00AF50D6">
        <w:rPr>
          <w:rFonts w:asciiTheme="minorHAnsi" w:hAnsiTheme="minorHAnsi" w:cstheme="minorHAnsi"/>
        </w:rPr>
        <w:t>No need to include further information from the UE since correlation mechanism is not needed.</w:t>
      </w:r>
    </w:p>
    <w:p w14:paraId="1DA5C99D" w14:textId="6700B8BC" w:rsidR="003925AA" w:rsidRPr="00CA311A" w:rsidRDefault="00783749" w:rsidP="00783749">
      <w:pPr>
        <w:pStyle w:val="Eyecatcher"/>
        <w:ind w:left="0" w:firstLine="0"/>
        <w:jc w:val="both"/>
        <w:rPr>
          <w:rFonts w:asciiTheme="minorHAnsi" w:eastAsiaTheme="minorEastAsia" w:hAnsiTheme="minorHAnsi" w:cstheme="minorHAnsi"/>
          <w:b w:val="0"/>
          <w:kern w:val="2"/>
          <w:sz w:val="21"/>
          <w:lang w:eastAsia="zh-CN"/>
        </w:rPr>
      </w:pPr>
      <w:r w:rsidRPr="00AF50D6">
        <w:rPr>
          <w:rFonts w:asciiTheme="minorHAnsi" w:eastAsiaTheme="minorEastAsia" w:hAnsiTheme="minorHAnsi" w:cstheme="minorHAnsi"/>
          <w:b w:val="0"/>
          <w:kern w:val="2"/>
          <w:lang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38" w:name="_Toc527283433"/>
      <w:bookmarkStart w:id="39" w:name="_Toc527283650"/>
      <w:bookmarkStart w:id="40" w:name="_Toc527283679"/>
      <w:bookmarkStart w:id="41" w:name="_Toc527283743"/>
      <w:bookmarkStart w:id="42" w:name="_Toc527283747"/>
      <w:bookmarkStart w:id="43" w:name="_Toc527283909"/>
      <w:bookmarkStart w:id="44" w:name="_Toc527283926"/>
      <w:bookmarkStart w:id="45" w:name="_Toc126137456"/>
      <w:bookmarkStart w:id="46" w:name="_Toc126137561"/>
      <w:r w:rsidRPr="004C20EC">
        <w:rPr>
          <w:rFonts w:asciiTheme="minorHAnsi" w:hAnsiTheme="minorHAnsi" w:cstheme="minorHAnsi"/>
        </w:rPr>
        <w:lastRenderedPageBreak/>
        <w:t>4</w:t>
      </w:r>
      <w:r w:rsidRPr="004C20EC">
        <w:rPr>
          <w:rFonts w:asciiTheme="minorHAnsi" w:hAnsiTheme="minorHAnsi" w:cstheme="minorHAnsi"/>
        </w:rPr>
        <w:tab/>
        <w:t>References</w:t>
      </w:r>
      <w:bookmarkEnd w:id="38"/>
      <w:bookmarkEnd w:id="39"/>
      <w:bookmarkEnd w:id="40"/>
      <w:bookmarkEnd w:id="41"/>
      <w:bookmarkEnd w:id="42"/>
      <w:bookmarkEnd w:id="43"/>
      <w:bookmarkEnd w:id="44"/>
      <w:bookmarkEnd w:id="45"/>
      <w:bookmarkEnd w:id="46"/>
    </w:p>
    <w:bookmarkEnd w:id="29"/>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D3319" w14:textId="77777777" w:rsidR="0007159B" w:rsidRDefault="0007159B">
      <w:r>
        <w:separator/>
      </w:r>
    </w:p>
  </w:endnote>
  <w:endnote w:type="continuationSeparator" w:id="0">
    <w:p w14:paraId="3C4E05BC" w14:textId="77777777" w:rsidR="0007159B" w:rsidRDefault="0007159B">
      <w:r>
        <w:continuationSeparator/>
      </w:r>
    </w:p>
  </w:endnote>
  <w:endnote w:type="continuationNotice" w:id="1">
    <w:p w14:paraId="3DD30B42" w14:textId="77777777" w:rsidR="0007159B" w:rsidRDefault="00071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5D429" w14:textId="77777777"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07159B" w:rsidRDefault="0007159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9F9C5" w14:textId="16C6763B"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34C05">
      <w:rPr>
        <w:rStyle w:val="a7"/>
        <w:noProof/>
      </w:rPr>
      <w:t>3</w:t>
    </w:r>
    <w:r>
      <w:rPr>
        <w:rStyle w:val="a7"/>
      </w:rPr>
      <w:fldChar w:fldCharType="end"/>
    </w:r>
  </w:p>
  <w:p w14:paraId="1A7FF71A" w14:textId="77777777" w:rsidR="0007159B" w:rsidRDefault="0007159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97911" w14:textId="77777777" w:rsidR="0007159B" w:rsidRDefault="0007159B">
      <w:r>
        <w:separator/>
      </w:r>
    </w:p>
  </w:footnote>
  <w:footnote w:type="continuationSeparator" w:id="0">
    <w:p w14:paraId="4106EE3A" w14:textId="77777777" w:rsidR="0007159B" w:rsidRDefault="0007159B">
      <w:r>
        <w:continuationSeparator/>
      </w:r>
    </w:p>
  </w:footnote>
  <w:footnote w:type="continuationNotice" w:id="1">
    <w:p w14:paraId="6340F555" w14:textId="77777777" w:rsidR="0007159B" w:rsidRDefault="000715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7"/>
  </w:num>
  <w:num w:numId="13">
    <w:abstractNumId w:val="11"/>
  </w:num>
  <w:num w:numId="14">
    <w:abstractNumId w:val="16"/>
  </w:num>
  <w:num w:numId="15">
    <w:abstractNumId w:val="10"/>
  </w:num>
  <w:num w:numId="16">
    <w:abstractNumId w:val="19"/>
  </w:num>
  <w:num w:numId="17">
    <w:abstractNumId w:val="15"/>
  </w:num>
  <w:num w:numId="18">
    <w:abstractNumId w:val="12"/>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1906"/>
    <w:rsid w:val="00003162"/>
    <w:rsid w:val="00004A98"/>
    <w:rsid w:val="00005AAB"/>
    <w:rsid w:val="0001024C"/>
    <w:rsid w:val="00010D88"/>
    <w:rsid w:val="00026DC1"/>
    <w:rsid w:val="000401B6"/>
    <w:rsid w:val="00046072"/>
    <w:rsid w:val="00051226"/>
    <w:rsid w:val="00051682"/>
    <w:rsid w:val="000640DF"/>
    <w:rsid w:val="000669A2"/>
    <w:rsid w:val="0007159B"/>
    <w:rsid w:val="000719E7"/>
    <w:rsid w:val="00072310"/>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2A98"/>
    <w:rsid w:val="00195C35"/>
    <w:rsid w:val="001B1C2A"/>
    <w:rsid w:val="001D1142"/>
    <w:rsid w:val="001D1214"/>
    <w:rsid w:val="001D3360"/>
    <w:rsid w:val="00203C57"/>
    <w:rsid w:val="00203F86"/>
    <w:rsid w:val="002120CC"/>
    <w:rsid w:val="002174CA"/>
    <w:rsid w:val="002177A7"/>
    <w:rsid w:val="002300C6"/>
    <w:rsid w:val="00230764"/>
    <w:rsid w:val="002336F5"/>
    <w:rsid w:val="00237F7C"/>
    <w:rsid w:val="00243992"/>
    <w:rsid w:val="0024745D"/>
    <w:rsid w:val="00247F22"/>
    <w:rsid w:val="00273FAA"/>
    <w:rsid w:val="00284A5E"/>
    <w:rsid w:val="00294C24"/>
    <w:rsid w:val="002A6034"/>
    <w:rsid w:val="002A739F"/>
    <w:rsid w:val="002B0CFE"/>
    <w:rsid w:val="002C6A9C"/>
    <w:rsid w:val="002F0B69"/>
    <w:rsid w:val="002F1801"/>
    <w:rsid w:val="0030568B"/>
    <w:rsid w:val="00305FE0"/>
    <w:rsid w:val="003111BA"/>
    <w:rsid w:val="00312F43"/>
    <w:rsid w:val="003229C8"/>
    <w:rsid w:val="0032308F"/>
    <w:rsid w:val="003514CE"/>
    <w:rsid w:val="00360F2F"/>
    <w:rsid w:val="00362FD6"/>
    <w:rsid w:val="003658DB"/>
    <w:rsid w:val="00383916"/>
    <w:rsid w:val="00383BAF"/>
    <w:rsid w:val="003925AA"/>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1174"/>
    <w:rsid w:val="0043235F"/>
    <w:rsid w:val="00434400"/>
    <w:rsid w:val="00436463"/>
    <w:rsid w:val="00440215"/>
    <w:rsid w:val="00440EB3"/>
    <w:rsid w:val="00452C1C"/>
    <w:rsid w:val="00456756"/>
    <w:rsid w:val="00456836"/>
    <w:rsid w:val="00463A76"/>
    <w:rsid w:val="00464F3D"/>
    <w:rsid w:val="00474F20"/>
    <w:rsid w:val="00475E6D"/>
    <w:rsid w:val="00485079"/>
    <w:rsid w:val="00492282"/>
    <w:rsid w:val="0049743E"/>
    <w:rsid w:val="004A605A"/>
    <w:rsid w:val="004B5A65"/>
    <w:rsid w:val="004C20EC"/>
    <w:rsid w:val="004E3A07"/>
    <w:rsid w:val="004E3AF3"/>
    <w:rsid w:val="004F4425"/>
    <w:rsid w:val="00501135"/>
    <w:rsid w:val="00506D99"/>
    <w:rsid w:val="00507D9D"/>
    <w:rsid w:val="00511F82"/>
    <w:rsid w:val="00523AA3"/>
    <w:rsid w:val="00534C05"/>
    <w:rsid w:val="00543DB8"/>
    <w:rsid w:val="00545E00"/>
    <w:rsid w:val="005475C5"/>
    <w:rsid w:val="005718AB"/>
    <w:rsid w:val="00580121"/>
    <w:rsid w:val="00583D2B"/>
    <w:rsid w:val="005855D2"/>
    <w:rsid w:val="00595500"/>
    <w:rsid w:val="005974F9"/>
    <w:rsid w:val="005A1D2C"/>
    <w:rsid w:val="005A727D"/>
    <w:rsid w:val="005B14C0"/>
    <w:rsid w:val="005C1208"/>
    <w:rsid w:val="005C5893"/>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331B"/>
    <w:rsid w:val="00774222"/>
    <w:rsid w:val="00780301"/>
    <w:rsid w:val="0078034B"/>
    <w:rsid w:val="007828DC"/>
    <w:rsid w:val="00783749"/>
    <w:rsid w:val="00786414"/>
    <w:rsid w:val="0079087F"/>
    <w:rsid w:val="00791307"/>
    <w:rsid w:val="0079764C"/>
    <w:rsid w:val="007A1EB3"/>
    <w:rsid w:val="007B42A3"/>
    <w:rsid w:val="007C5F8D"/>
    <w:rsid w:val="007C6B7A"/>
    <w:rsid w:val="007D02E1"/>
    <w:rsid w:val="007D41E9"/>
    <w:rsid w:val="007D451C"/>
    <w:rsid w:val="007D7FD9"/>
    <w:rsid w:val="007F3E85"/>
    <w:rsid w:val="007F669C"/>
    <w:rsid w:val="00805AD4"/>
    <w:rsid w:val="00843AF7"/>
    <w:rsid w:val="00853BBD"/>
    <w:rsid w:val="008609AD"/>
    <w:rsid w:val="0086759F"/>
    <w:rsid w:val="008700A3"/>
    <w:rsid w:val="00871B68"/>
    <w:rsid w:val="00873094"/>
    <w:rsid w:val="008775B7"/>
    <w:rsid w:val="008925B8"/>
    <w:rsid w:val="008953C3"/>
    <w:rsid w:val="008A4C1D"/>
    <w:rsid w:val="008A511A"/>
    <w:rsid w:val="008A647F"/>
    <w:rsid w:val="008B0AF2"/>
    <w:rsid w:val="008B0C05"/>
    <w:rsid w:val="008B4F57"/>
    <w:rsid w:val="008C2F4B"/>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E7DFF"/>
    <w:rsid w:val="009F59A2"/>
    <w:rsid w:val="009F6EC1"/>
    <w:rsid w:val="00A009DA"/>
    <w:rsid w:val="00A1281F"/>
    <w:rsid w:val="00A129B6"/>
    <w:rsid w:val="00A17E34"/>
    <w:rsid w:val="00A336B8"/>
    <w:rsid w:val="00A44420"/>
    <w:rsid w:val="00A54A9E"/>
    <w:rsid w:val="00A57FBC"/>
    <w:rsid w:val="00A61C80"/>
    <w:rsid w:val="00A71A00"/>
    <w:rsid w:val="00A72A5B"/>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50D6"/>
    <w:rsid w:val="00AF780A"/>
    <w:rsid w:val="00B06C16"/>
    <w:rsid w:val="00B117E3"/>
    <w:rsid w:val="00B13580"/>
    <w:rsid w:val="00B15DB4"/>
    <w:rsid w:val="00B231F4"/>
    <w:rsid w:val="00B329D3"/>
    <w:rsid w:val="00B532EB"/>
    <w:rsid w:val="00B54A37"/>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E6E79"/>
    <w:rsid w:val="00CF0789"/>
    <w:rsid w:val="00D0317F"/>
    <w:rsid w:val="00D115B3"/>
    <w:rsid w:val="00D11D2D"/>
    <w:rsid w:val="00D25476"/>
    <w:rsid w:val="00D265F4"/>
    <w:rsid w:val="00D371F0"/>
    <w:rsid w:val="00D37FA6"/>
    <w:rsid w:val="00D40511"/>
    <w:rsid w:val="00D53C0D"/>
    <w:rsid w:val="00D6753B"/>
    <w:rsid w:val="00D67DC3"/>
    <w:rsid w:val="00D7590A"/>
    <w:rsid w:val="00D75F06"/>
    <w:rsid w:val="00D80F19"/>
    <w:rsid w:val="00D8543C"/>
    <w:rsid w:val="00D91A1D"/>
    <w:rsid w:val="00D9600A"/>
    <w:rsid w:val="00D971BA"/>
    <w:rsid w:val="00DA191E"/>
    <w:rsid w:val="00DB5364"/>
    <w:rsid w:val="00DB797B"/>
    <w:rsid w:val="00DC3BE7"/>
    <w:rsid w:val="00DC53D2"/>
    <w:rsid w:val="00DD35C8"/>
    <w:rsid w:val="00E042C0"/>
    <w:rsid w:val="00E04E05"/>
    <w:rsid w:val="00E11BAC"/>
    <w:rsid w:val="00E26242"/>
    <w:rsid w:val="00E26F74"/>
    <w:rsid w:val="00E27896"/>
    <w:rsid w:val="00E329B4"/>
    <w:rsid w:val="00E37F82"/>
    <w:rsid w:val="00E40689"/>
    <w:rsid w:val="00E5568E"/>
    <w:rsid w:val="00E712C8"/>
    <w:rsid w:val="00E71F43"/>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05363"/>
    <w:rsid w:val="00F120DD"/>
    <w:rsid w:val="00F14B26"/>
    <w:rsid w:val="00F150E5"/>
    <w:rsid w:val="00F26A79"/>
    <w:rsid w:val="00F31F35"/>
    <w:rsid w:val="00F5274F"/>
    <w:rsid w:val="00F61067"/>
    <w:rsid w:val="00F6139A"/>
    <w:rsid w:val="00F6616C"/>
    <w:rsid w:val="00F812EA"/>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21">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31">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10"/>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出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1">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2">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2">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rsid w:val="005C5893"/>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B559FE-B7D6-497E-AB13-516D03A4EAD4}">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4.xml><?xml version="1.0" encoding="utf-8"?>
<ds:datastoreItem xmlns:ds="http://schemas.openxmlformats.org/officeDocument/2006/customXml" ds:itemID="{F171BBAB-EC94-4578-9B77-EE55921B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
  <cp:keywords/>
  <cp:lastModifiedBy>张博源</cp:lastModifiedBy>
  <cp:revision>3</cp:revision>
  <dcterms:created xsi:type="dcterms:W3CDTF">2023-04-07T01:30:00Z</dcterms:created>
  <dcterms:modified xsi:type="dcterms:W3CDTF">2023-04-07T01:39:00Z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